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366EE" w14:textId="1CA7E2FB" w:rsidR="00DC7049" w:rsidRDefault="00DC7049" w:rsidP="00FA0F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64C96B93" w14:textId="5B4D495D" w:rsidR="00FA0FF9" w:rsidRDefault="00FA0FF9" w:rsidP="00FA0F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FA0FF9">
        <w:rPr>
          <w:rFonts w:ascii="Arial" w:hAnsi="Arial" w:cs="Arial"/>
          <w:b/>
          <w:sz w:val="24"/>
          <w:szCs w:val="24"/>
          <w:u w:val="single"/>
        </w:rPr>
        <w:t xml:space="preserve">Note </w:t>
      </w:r>
      <w:r w:rsidR="00DC7049">
        <w:rPr>
          <w:rFonts w:ascii="Arial" w:hAnsi="Arial" w:cs="Arial"/>
          <w:b/>
          <w:sz w:val="24"/>
          <w:szCs w:val="24"/>
          <w:u w:val="single"/>
        </w:rPr>
        <w:t>sur</w:t>
      </w:r>
      <w:r w:rsidR="00040ADC">
        <w:rPr>
          <w:rFonts w:ascii="Arial" w:hAnsi="Arial" w:cs="Arial"/>
          <w:b/>
          <w:sz w:val="24"/>
          <w:szCs w:val="24"/>
          <w:u w:val="single"/>
        </w:rPr>
        <w:t xml:space="preserve"> la </w:t>
      </w:r>
      <w:r w:rsidR="00A01004">
        <w:rPr>
          <w:rFonts w:ascii="Arial" w:hAnsi="Arial" w:cs="Arial"/>
          <w:b/>
          <w:sz w:val="24"/>
          <w:szCs w:val="24"/>
          <w:u w:val="single"/>
        </w:rPr>
        <w:t>notion d’intérêt général</w:t>
      </w:r>
    </w:p>
    <w:p w14:paraId="0F66A6E2" w14:textId="77777777" w:rsidR="00DC7049" w:rsidRPr="00FA0FF9" w:rsidRDefault="00DC7049" w:rsidP="00FA0F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6874E5B9" w14:textId="09643F25" w:rsidR="00040ADC" w:rsidRPr="00040ADC" w:rsidRDefault="00F06BB3" w:rsidP="00040ADC">
      <w:pPr>
        <w:pStyle w:val="western"/>
        <w:shd w:val="clear" w:color="auto" w:fill="FFFFFF"/>
        <w:spacing w:before="240" w:beforeAutospacing="0" w:after="240" w:afterAutospacing="0" w:line="168" w:lineRule="atLeast"/>
        <w:jc w:val="both"/>
        <w:rPr>
          <w:rFonts w:ascii="Arial" w:hAnsi="Arial" w:cs="Arial"/>
          <w:bCs/>
        </w:rPr>
      </w:pPr>
      <w:r w:rsidRPr="00F06BB3">
        <w:rPr>
          <w:rFonts w:ascii="Arial" w:hAnsi="Arial" w:cs="Arial"/>
          <w:b/>
          <w:bCs/>
        </w:rPr>
        <w:t xml:space="preserve">Cette procédure est codifiée </w:t>
      </w:r>
      <w:r w:rsidR="00040ADC">
        <w:rPr>
          <w:rFonts w:ascii="Arial" w:hAnsi="Arial" w:cs="Arial"/>
          <w:b/>
          <w:bCs/>
        </w:rPr>
        <w:t>à l’</w:t>
      </w:r>
      <w:r w:rsidRPr="00F06BB3">
        <w:rPr>
          <w:rFonts w:ascii="Arial" w:hAnsi="Arial" w:cs="Arial"/>
          <w:b/>
          <w:bCs/>
        </w:rPr>
        <w:t xml:space="preserve">article </w:t>
      </w:r>
      <w:hyperlink r:id="rId8" w:tgtFrame="_blank" w:tooltip="Ouvrir " w:history="1">
        <w:r w:rsidRPr="00F06BB3">
          <w:rPr>
            <w:rStyle w:val="Lienhypertexte"/>
            <w:rFonts w:ascii="Arial" w:hAnsi="Arial" w:cs="Arial"/>
            <w:b/>
            <w:bCs/>
          </w:rPr>
          <w:t>L</w:t>
        </w:r>
        <w:r w:rsidR="00040ADC">
          <w:rPr>
            <w:rStyle w:val="Lienhypertexte"/>
            <w:rFonts w:ascii="Arial" w:hAnsi="Arial" w:cs="Arial"/>
            <w:b/>
            <w:bCs/>
          </w:rPr>
          <w:t>2411-1</w:t>
        </w:r>
        <w:r w:rsidR="00A01004">
          <w:rPr>
            <w:rStyle w:val="Lienhypertexte"/>
            <w:rFonts w:ascii="Arial" w:hAnsi="Arial" w:cs="Arial"/>
            <w:b/>
            <w:bCs/>
          </w:rPr>
          <w:t>2-2</w:t>
        </w:r>
      </w:hyperlink>
      <w:r w:rsidRPr="00F06BB3">
        <w:rPr>
          <w:rFonts w:ascii="Arial" w:hAnsi="Arial" w:cs="Arial"/>
          <w:b/>
          <w:bCs/>
        </w:rPr>
        <w:t xml:space="preserve"> du CGCT</w:t>
      </w:r>
      <w:r w:rsidR="00A01004">
        <w:rPr>
          <w:rFonts w:ascii="Arial" w:hAnsi="Arial" w:cs="Arial"/>
          <w:b/>
          <w:bCs/>
        </w:rPr>
        <w:t>.</w:t>
      </w:r>
    </w:p>
    <w:p w14:paraId="49962139" w14:textId="7F9899F5" w:rsidR="006D18C3" w:rsidRDefault="006D18C3" w:rsidP="00040ADC">
      <w:pPr>
        <w:pStyle w:val="western"/>
        <w:shd w:val="clear" w:color="auto" w:fill="FFFFFF"/>
        <w:spacing w:before="240" w:beforeAutospacing="0" w:after="240" w:afterAutospacing="0" w:line="168" w:lineRule="atLeast"/>
        <w:jc w:val="both"/>
        <w:rPr>
          <w:rFonts w:ascii="Arial" w:hAnsi="Arial" w:cs="Arial"/>
          <w:bCs/>
          <w:i/>
          <w:iCs/>
        </w:rPr>
      </w:pPr>
      <w:r w:rsidRPr="006D18C3">
        <w:rPr>
          <w:rFonts w:ascii="Arial" w:hAnsi="Arial" w:cs="Arial"/>
          <w:bCs/>
          <w:i/>
          <w:iCs/>
        </w:rPr>
        <w:t xml:space="preserve">La formule </w:t>
      </w:r>
      <w:r>
        <w:rPr>
          <w:rFonts w:ascii="Arial" w:hAnsi="Arial" w:cs="Arial"/>
          <w:bCs/>
          <w:i/>
          <w:iCs/>
        </w:rPr>
        <w:t>« </w:t>
      </w:r>
      <w:r w:rsidRPr="006D18C3">
        <w:rPr>
          <w:rFonts w:ascii="Arial" w:hAnsi="Arial" w:cs="Arial"/>
          <w:bCs/>
          <w:i/>
          <w:iCs/>
        </w:rPr>
        <w:t>intérêt général</w:t>
      </w:r>
      <w:r>
        <w:rPr>
          <w:rFonts w:ascii="Arial" w:hAnsi="Arial" w:cs="Arial"/>
          <w:bCs/>
          <w:i/>
          <w:iCs/>
        </w:rPr>
        <w:t> »</w:t>
      </w:r>
      <w:r w:rsidRPr="006D18C3">
        <w:rPr>
          <w:rFonts w:ascii="Arial" w:hAnsi="Arial" w:cs="Arial"/>
          <w:bCs/>
          <w:i/>
          <w:iCs/>
        </w:rPr>
        <w:t xml:space="preserve"> (ou intérêt public) désigne la finalité d'actions ou d'institutions censées intéresser et servir une population considérée dans son ensemble.</w:t>
      </w:r>
    </w:p>
    <w:p w14:paraId="74D43916" w14:textId="201D5C13" w:rsidR="002825E8" w:rsidRDefault="00B15614" w:rsidP="00040ADC">
      <w:pPr>
        <w:pStyle w:val="western"/>
        <w:shd w:val="clear" w:color="auto" w:fill="FFFFFF"/>
        <w:spacing w:before="240" w:beforeAutospacing="0" w:after="240" w:afterAutospacing="0" w:line="168" w:lineRule="atLeast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La définition de l’intérêt général n’est pas précise, et son interprétation dans un cadre juridique est toujours contextuelle. Dans le cas des transferts de biens sectionaux, c’est à la fois une force </w:t>
      </w:r>
      <w:r w:rsidR="00B05903">
        <w:rPr>
          <w:rFonts w:ascii="Arial" w:hAnsi="Arial" w:cs="Arial"/>
          <w:bCs/>
        </w:rPr>
        <w:t xml:space="preserve">qui </w:t>
      </w:r>
      <w:r>
        <w:rPr>
          <w:rFonts w:ascii="Arial" w:hAnsi="Arial" w:cs="Arial"/>
          <w:bCs/>
        </w:rPr>
        <w:t>permet une certaine flexibilité dans le choix des motifs</w:t>
      </w:r>
      <w:r w:rsidR="00B05903">
        <w:rPr>
          <w:rFonts w:ascii="Arial" w:hAnsi="Arial" w:cs="Arial"/>
          <w:bCs/>
        </w:rPr>
        <w:t xml:space="preserve"> de transfert </w:t>
      </w:r>
      <w:r>
        <w:rPr>
          <w:rFonts w:ascii="Arial" w:hAnsi="Arial" w:cs="Arial"/>
          <w:bCs/>
        </w:rPr>
        <w:t xml:space="preserve">mais aussi une faiblesse </w:t>
      </w:r>
      <w:r w:rsidR="00B05903">
        <w:rPr>
          <w:rFonts w:ascii="Arial" w:hAnsi="Arial" w:cs="Arial"/>
          <w:bCs/>
        </w:rPr>
        <w:t xml:space="preserve">puisque </w:t>
      </w:r>
      <w:r>
        <w:rPr>
          <w:rFonts w:ascii="Arial" w:hAnsi="Arial" w:cs="Arial"/>
          <w:bCs/>
        </w:rPr>
        <w:t>le choix peut facilement être contesté par des personnes aux visées différentes.</w:t>
      </w:r>
      <w:r w:rsidR="00EB4404">
        <w:rPr>
          <w:rFonts w:ascii="Arial" w:hAnsi="Arial" w:cs="Arial"/>
          <w:bCs/>
        </w:rPr>
        <w:t xml:space="preserve"> </w:t>
      </w:r>
      <w:r w:rsidR="002825E8">
        <w:rPr>
          <w:rFonts w:ascii="Arial" w:hAnsi="Arial" w:cs="Arial"/>
          <w:bCs/>
        </w:rPr>
        <w:t>Dans l’absolu, la décision du transfert se faisant au détriment des membres de la section, l’intérêt général ne peut être justifié que s’il bénéficie sans contestation possible à un groupe numériquement supérieur</w:t>
      </w:r>
      <w:r w:rsidR="00C651F3">
        <w:rPr>
          <w:rFonts w:ascii="Arial" w:hAnsi="Arial" w:cs="Arial"/>
          <w:bCs/>
        </w:rPr>
        <w:t>. A minima l’entièreté des habitants de la commune.</w:t>
      </w:r>
    </w:p>
    <w:p w14:paraId="6DB26A9C" w14:textId="4294C2D5" w:rsidR="00040ADC" w:rsidRDefault="00040ADC" w:rsidP="00040ADC">
      <w:pPr>
        <w:pStyle w:val="western"/>
        <w:shd w:val="clear" w:color="auto" w:fill="FFFFFF"/>
        <w:spacing w:before="240" w:beforeAutospacing="0" w:after="240" w:afterAutospacing="0" w:line="168" w:lineRule="atLeast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Sur </w:t>
      </w:r>
      <w:r w:rsidR="002825E8">
        <w:rPr>
          <w:rFonts w:ascii="Arial" w:hAnsi="Arial" w:cs="Arial"/>
          <w:b/>
          <w:bCs/>
        </w:rPr>
        <w:t xml:space="preserve">le choix du motif d’intérêt général </w:t>
      </w:r>
      <w:r>
        <w:rPr>
          <w:rFonts w:ascii="Arial" w:hAnsi="Arial" w:cs="Arial"/>
          <w:b/>
          <w:bCs/>
        </w:rPr>
        <w:t>:</w:t>
      </w:r>
      <w:r w:rsidRPr="00F06BB3">
        <w:rPr>
          <w:rFonts w:ascii="Arial" w:hAnsi="Arial" w:cs="Arial"/>
          <w:b/>
          <w:bCs/>
        </w:rPr>
        <w:t xml:space="preserve"> </w:t>
      </w:r>
    </w:p>
    <w:p w14:paraId="633CF3E5" w14:textId="0DF4CEE3" w:rsidR="00C651F3" w:rsidRDefault="00B05903" w:rsidP="00016659">
      <w:pPr>
        <w:pStyle w:val="western"/>
        <w:shd w:val="clear" w:color="auto" w:fill="FFFFFF"/>
        <w:spacing w:before="0" w:line="168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Ci-dessous </w:t>
      </w:r>
      <w:r w:rsidR="00016659" w:rsidRPr="00016659">
        <w:rPr>
          <w:rFonts w:ascii="Arial" w:hAnsi="Arial" w:cs="Arial"/>
        </w:rPr>
        <w:t xml:space="preserve">une </w:t>
      </w:r>
      <w:r w:rsidR="00016659">
        <w:rPr>
          <w:rFonts w:ascii="Arial" w:hAnsi="Arial" w:cs="Arial"/>
        </w:rPr>
        <w:t xml:space="preserve">liste non-exhaustive </w:t>
      </w:r>
      <w:r>
        <w:rPr>
          <w:rFonts w:ascii="Arial" w:hAnsi="Arial" w:cs="Arial"/>
        </w:rPr>
        <w:t xml:space="preserve">de </w:t>
      </w:r>
      <w:r w:rsidR="00016659">
        <w:rPr>
          <w:rFonts w:ascii="Arial" w:hAnsi="Arial" w:cs="Arial"/>
        </w:rPr>
        <w:t>projets d’intérêt général, qui sera à mettre à jour au fil d’éventuels exemples d’arrêtés effectifs ou à l’inverse de jugements contraires.</w:t>
      </w:r>
    </w:p>
    <w:p w14:paraId="14C17A84" w14:textId="120C0A7D" w:rsidR="00016659" w:rsidRPr="00016659" w:rsidRDefault="00016659" w:rsidP="00016659">
      <w:pPr>
        <w:pStyle w:val="western"/>
        <w:shd w:val="clear" w:color="auto" w:fill="FFFFFF"/>
        <w:spacing w:before="0" w:line="168" w:lineRule="atLeast"/>
        <w:jc w:val="both"/>
        <w:rPr>
          <w:rFonts w:ascii="Arial" w:hAnsi="Arial" w:cs="Arial"/>
          <w:color w:val="FF0000"/>
        </w:rPr>
      </w:pPr>
      <w:r w:rsidRPr="00016659">
        <w:rPr>
          <w:rFonts w:ascii="Arial" w:hAnsi="Arial" w:cs="Arial"/>
          <w:color w:val="FF0000"/>
        </w:rPr>
        <w:t xml:space="preserve">/!\ </w:t>
      </w:r>
      <w:r w:rsidR="007576FD">
        <w:rPr>
          <w:rFonts w:ascii="Arial" w:hAnsi="Arial" w:cs="Arial"/>
          <w:color w:val="FF0000"/>
        </w:rPr>
        <w:t>« </w:t>
      </w:r>
      <w:r>
        <w:rPr>
          <w:rFonts w:ascii="Arial" w:hAnsi="Arial" w:cs="Arial"/>
          <w:color w:val="FF0000"/>
        </w:rPr>
        <w:t>Faciliter l</w:t>
      </w:r>
      <w:r w:rsidRPr="00016659">
        <w:rPr>
          <w:rFonts w:ascii="Arial" w:hAnsi="Arial" w:cs="Arial"/>
          <w:color w:val="FF0000"/>
        </w:rPr>
        <w:t xml:space="preserve">a gestion </w:t>
      </w:r>
      <w:r>
        <w:rPr>
          <w:rFonts w:ascii="Arial" w:hAnsi="Arial" w:cs="Arial"/>
          <w:color w:val="FF0000"/>
        </w:rPr>
        <w:t>administrative</w:t>
      </w:r>
      <w:r w:rsidR="007576FD">
        <w:rPr>
          <w:rFonts w:ascii="Arial" w:hAnsi="Arial" w:cs="Arial"/>
          <w:color w:val="FF0000"/>
        </w:rPr>
        <w:t>, comptable ou forestière »</w:t>
      </w:r>
      <w:r>
        <w:rPr>
          <w:rFonts w:ascii="Arial" w:hAnsi="Arial" w:cs="Arial"/>
          <w:color w:val="FF0000"/>
        </w:rPr>
        <w:t xml:space="preserve"> d</w:t>
      </w:r>
      <w:r w:rsidRPr="00016659">
        <w:rPr>
          <w:rFonts w:ascii="Arial" w:hAnsi="Arial" w:cs="Arial"/>
          <w:color w:val="FF0000"/>
        </w:rPr>
        <w:t>es biens par la commune ou l’ONF n’est pas un motif suffisant pour justifier de l’intérêt général /!\</w:t>
      </w:r>
    </w:p>
    <w:p w14:paraId="712CD788" w14:textId="433FB527" w:rsidR="00016659" w:rsidRDefault="007576FD" w:rsidP="007576FD">
      <w:pPr>
        <w:pStyle w:val="western"/>
        <w:numPr>
          <w:ilvl w:val="0"/>
          <w:numId w:val="9"/>
        </w:numPr>
        <w:shd w:val="clear" w:color="auto" w:fill="FFFFFF"/>
        <w:spacing w:before="0" w:line="168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Installation d’infrastructures (voierie, antennes, éoliennes…) </w:t>
      </w:r>
    </w:p>
    <w:p w14:paraId="13264FE4" w14:textId="08A27451" w:rsidR="007576FD" w:rsidRDefault="007576FD" w:rsidP="007576FD">
      <w:pPr>
        <w:pStyle w:val="western"/>
        <w:shd w:val="clear" w:color="auto" w:fill="FFFFFF"/>
        <w:spacing w:before="240" w:beforeAutospacing="0" w:after="240" w:afterAutospacing="0" w:line="168" w:lineRule="atLeast"/>
        <w:jc w:val="both"/>
        <w:rPr>
          <w:rFonts w:ascii="Arial" w:hAnsi="Arial" w:cs="Arial"/>
        </w:rPr>
      </w:pPr>
      <w:r w:rsidRPr="007576FD">
        <w:rPr>
          <w:rFonts w:ascii="Arial" w:hAnsi="Arial" w:cs="Arial"/>
        </w:rPr>
        <w:sym w:font="Wingdings" w:char="F0E0"/>
      </w:r>
      <w:r>
        <w:rPr>
          <w:rFonts w:ascii="Arial" w:hAnsi="Arial" w:cs="Arial"/>
        </w:rPr>
        <w:t xml:space="preserve"> Exemple</w:t>
      </w:r>
      <w:r>
        <w:rPr>
          <w:rFonts w:ascii="Arial" w:hAnsi="Arial" w:cs="Arial"/>
          <w:bCs/>
        </w:rPr>
        <w:t> : d</w:t>
      </w:r>
      <w:r w:rsidRPr="00C651F3">
        <w:rPr>
          <w:rFonts w:ascii="Arial" w:hAnsi="Arial" w:cs="Arial"/>
          <w:bCs/>
        </w:rPr>
        <w:t>écision de la Cour d’Appel Administrative de Lyon (12/06/2018, n°16LY02803)</w:t>
      </w:r>
      <w:r>
        <w:rPr>
          <w:rFonts w:ascii="Arial" w:hAnsi="Arial" w:cs="Arial"/>
          <w:bCs/>
        </w:rPr>
        <w:t> :</w:t>
      </w:r>
      <w:r w:rsidR="00C651F3" w:rsidRPr="00C651F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« </w:t>
      </w:r>
      <w:r>
        <w:rPr>
          <w:rFonts w:ascii="Arial" w:hAnsi="Arial" w:cs="Arial"/>
          <w:i/>
          <w:iCs/>
        </w:rPr>
        <w:t>[…]</w:t>
      </w:r>
      <w:r w:rsidR="00C651F3" w:rsidRPr="007576FD">
        <w:rPr>
          <w:rFonts w:ascii="Arial" w:hAnsi="Arial" w:cs="Arial"/>
          <w:i/>
          <w:iCs/>
        </w:rPr>
        <w:t xml:space="preserve"> que le projet en cause d'implantation de huit éoliennes, autorisé par le préfet de l'Ain le 20 mars 2006, prévoit notamment l'édification de cinq de ces éoliennes sur ladite parcelle ; qu'eu égard à son importance et à sa destination, ce projet éolien présente un intérêt général en raison de sa contribution à la satisfaction d'un besoin collectif par la production d'électricité vendue au public ; qu'il répond, dès lors, à un objectif d'intérêt général au sens des dispositions précitées du premier alinéa de l'article L. 2411-12-2 du code général des collectivités territoriales</w:t>
      </w:r>
      <w:r w:rsidR="00C651F3" w:rsidRPr="00C651F3">
        <w:rPr>
          <w:rFonts w:ascii="Arial" w:hAnsi="Arial" w:cs="Arial"/>
        </w:rPr>
        <w:t xml:space="preserve"> ;</w:t>
      </w:r>
      <w:r>
        <w:rPr>
          <w:rFonts w:ascii="Arial" w:hAnsi="Arial" w:cs="Arial"/>
        </w:rPr>
        <w:t> »</w:t>
      </w:r>
    </w:p>
    <w:p w14:paraId="5411B27C" w14:textId="3E2CE4BB" w:rsidR="0096361C" w:rsidRDefault="007576FD" w:rsidP="007576FD">
      <w:pPr>
        <w:pStyle w:val="western"/>
        <w:numPr>
          <w:ilvl w:val="0"/>
          <w:numId w:val="9"/>
        </w:numPr>
        <w:shd w:val="clear" w:color="auto" w:fill="FFFFFF"/>
        <w:spacing w:before="240" w:beforeAutospacing="0" w:after="240" w:afterAutospacing="0" w:line="168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Intérêt écologique nécessitant des aménagements</w:t>
      </w:r>
    </w:p>
    <w:p w14:paraId="19ADFBC1" w14:textId="6651642D" w:rsidR="007576FD" w:rsidRDefault="007576FD" w:rsidP="007576FD">
      <w:pPr>
        <w:pStyle w:val="western"/>
        <w:shd w:val="clear" w:color="auto" w:fill="FFFFFF"/>
        <w:spacing w:before="240" w:beforeAutospacing="0" w:after="240" w:afterAutospacing="0" w:line="168" w:lineRule="atLeast"/>
        <w:jc w:val="both"/>
        <w:rPr>
          <w:rFonts w:ascii="Arial" w:hAnsi="Arial" w:cs="Arial"/>
        </w:rPr>
      </w:pPr>
      <w:r w:rsidRPr="007576FD">
        <w:rPr>
          <w:rFonts w:ascii="Arial" w:hAnsi="Arial" w:cs="Arial"/>
        </w:rPr>
        <w:sym w:font="Wingdings" w:char="F0E0"/>
      </w:r>
      <w:r>
        <w:rPr>
          <w:rFonts w:ascii="Arial" w:hAnsi="Arial" w:cs="Arial"/>
        </w:rPr>
        <w:t xml:space="preserve"> Exemple : </w:t>
      </w:r>
      <w:hyperlink r:id="rId9" w:history="1">
        <w:r w:rsidRPr="007576FD">
          <w:rPr>
            <w:rStyle w:val="Lienhypertexte"/>
            <w:rFonts w:ascii="Arial" w:hAnsi="Arial" w:cs="Arial"/>
          </w:rPr>
          <w:t>délibération</w:t>
        </w:r>
      </w:hyperlink>
      <w:r>
        <w:rPr>
          <w:rFonts w:ascii="Arial" w:hAnsi="Arial" w:cs="Arial"/>
        </w:rPr>
        <w:t xml:space="preserve"> de la commune de </w:t>
      </w:r>
      <w:r w:rsidRPr="007576FD">
        <w:rPr>
          <w:rFonts w:ascii="Arial" w:hAnsi="Arial" w:cs="Arial"/>
        </w:rPr>
        <w:t>Saint-Victor-sur-Arlanc</w:t>
      </w:r>
      <w:r>
        <w:rPr>
          <w:rFonts w:ascii="Arial" w:hAnsi="Arial" w:cs="Arial"/>
        </w:rPr>
        <w:t xml:space="preserve"> (Haute-Loire) : « </w:t>
      </w:r>
      <w:r w:rsidRPr="00EB4404">
        <w:rPr>
          <w:rFonts w:ascii="Arial" w:hAnsi="Arial" w:cs="Arial"/>
          <w:i/>
          <w:iCs/>
        </w:rPr>
        <w:t>[…] cette parcelle présente un intérêt écologique à titre de site d'implantation de mesures compensatoires environnementales nécessit</w:t>
      </w:r>
      <w:r w:rsidR="00EB4404" w:rsidRPr="00EB4404">
        <w:rPr>
          <w:rFonts w:ascii="Arial" w:hAnsi="Arial" w:cs="Arial"/>
          <w:i/>
          <w:iCs/>
        </w:rPr>
        <w:t>ant</w:t>
      </w:r>
      <w:r w:rsidRPr="00EB4404">
        <w:rPr>
          <w:rFonts w:ascii="Arial" w:hAnsi="Arial" w:cs="Arial"/>
          <w:i/>
          <w:iCs/>
        </w:rPr>
        <w:t xml:space="preserve"> la réalisation de travaux. Dans ce contexte, la signature de l'obligation réelle environnementale par la </w:t>
      </w:r>
      <w:r w:rsidR="00EB4404" w:rsidRPr="00EB4404">
        <w:rPr>
          <w:rFonts w:ascii="Arial" w:hAnsi="Arial" w:cs="Arial"/>
          <w:i/>
          <w:iCs/>
        </w:rPr>
        <w:t>c</w:t>
      </w:r>
      <w:r w:rsidRPr="00EB4404">
        <w:rPr>
          <w:rFonts w:ascii="Arial" w:hAnsi="Arial" w:cs="Arial"/>
          <w:i/>
          <w:iCs/>
        </w:rPr>
        <w:t xml:space="preserve">ommune ne peut être autorisée qu'à condition que le transfert à la commune de tout ou partie du bien, droits et obligations des sections concernées aura été prononcé par le représentant de l'État dans le département, à la demande du conseil municipal, afin de mettre en </w:t>
      </w:r>
      <w:r w:rsidR="004A25CB" w:rsidRPr="00EB4404">
        <w:rPr>
          <w:rFonts w:ascii="Arial" w:hAnsi="Arial" w:cs="Arial"/>
          <w:i/>
          <w:iCs/>
        </w:rPr>
        <w:t>œuvre</w:t>
      </w:r>
      <w:r w:rsidRPr="00EB4404">
        <w:rPr>
          <w:rFonts w:ascii="Arial" w:hAnsi="Arial" w:cs="Arial"/>
          <w:i/>
          <w:iCs/>
        </w:rPr>
        <w:t xml:space="preserve"> un objectif d'intérêt général motivé par délibération (art. L.2411-12-2 du CGCT).</w:t>
      </w:r>
      <w:r w:rsidR="00EB4404">
        <w:rPr>
          <w:rFonts w:ascii="Arial" w:hAnsi="Arial" w:cs="Arial"/>
        </w:rPr>
        <w:t> »</w:t>
      </w:r>
      <w:r>
        <w:rPr>
          <w:rFonts w:ascii="Arial" w:hAnsi="Arial" w:cs="Arial"/>
        </w:rPr>
        <w:t xml:space="preserve"> </w:t>
      </w:r>
    </w:p>
    <w:sectPr w:rsidR="007576FD" w:rsidSect="009E33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450AB"/>
    <w:multiLevelType w:val="hybridMultilevel"/>
    <w:tmpl w:val="7408D9CA"/>
    <w:lvl w:ilvl="0" w:tplc="B26673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D76B0"/>
    <w:multiLevelType w:val="hybridMultilevel"/>
    <w:tmpl w:val="6AEE8C8C"/>
    <w:lvl w:ilvl="0" w:tplc="D0A04604">
      <w:start w:val="12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2F4478"/>
    <w:multiLevelType w:val="hybridMultilevel"/>
    <w:tmpl w:val="D256A3EC"/>
    <w:lvl w:ilvl="0" w:tplc="E146C87C">
      <w:start w:val="8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94BCA"/>
    <w:multiLevelType w:val="multilevel"/>
    <w:tmpl w:val="9B849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601CE2"/>
    <w:multiLevelType w:val="hybridMultilevel"/>
    <w:tmpl w:val="5B8A41D2"/>
    <w:lvl w:ilvl="0" w:tplc="6C20AAD6">
      <w:start w:val="12"/>
      <w:numFmt w:val="bullet"/>
      <w:lvlText w:val="-"/>
      <w:lvlJc w:val="left"/>
      <w:pPr>
        <w:ind w:left="720" w:hanging="360"/>
      </w:pPr>
      <w:rPr>
        <w:rFonts w:ascii="Arial" w:eastAsia="Verdan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2C4901"/>
    <w:multiLevelType w:val="hybridMultilevel"/>
    <w:tmpl w:val="B302D0D8"/>
    <w:lvl w:ilvl="0" w:tplc="9AE8591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2C2117"/>
    <w:multiLevelType w:val="hybridMultilevel"/>
    <w:tmpl w:val="E07EC494"/>
    <w:lvl w:ilvl="0" w:tplc="469ACF9A"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2A415F"/>
    <w:multiLevelType w:val="hybridMultilevel"/>
    <w:tmpl w:val="78EA1F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3857F1"/>
    <w:multiLevelType w:val="hybridMultilevel"/>
    <w:tmpl w:val="E850F7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DD144D"/>
    <w:multiLevelType w:val="hybridMultilevel"/>
    <w:tmpl w:val="FF84FED0"/>
    <w:lvl w:ilvl="0" w:tplc="D59C44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0961165">
    <w:abstractNumId w:val="3"/>
  </w:num>
  <w:num w:numId="2" w16cid:durableId="1822886550">
    <w:abstractNumId w:val="6"/>
  </w:num>
  <w:num w:numId="3" w16cid:durableId="1166825450">
    <w:abstractNumId w:val="9"/>
  </w:num>
  <w:num w:numId="4" w16cid:durableId="841092652">
    <w:abstractNumId w:val="4"/>
  </w:num>
  <w:num w:numId="5" w16cid:durableId="215242039">
    <w:abstractNumId w:val="1"/>
  </w:num>
  <w:num w:numId="6" w16cid:durableId="71437227">
    <w:abstractNumId w:val="5"/>
  </w:num>
  <w:num w:numId="7" w16cid:durableId="1079836977">
    <w:abstractNumId w:val="0"/>
  </w:num>
  <w:num w:numId="8" w16cid:durableId="1430614372">
    <w:abstractNumId w:val="8"/>
  </w:num>
  <w:num w:numId="9" w16cid:durableId="683284669">
    <w:abstractNumId w:val="7"/>
  </w:num>
  <w:num w:numId="10" w16cid:durableId="11309752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E01"/>
    <w:rsid w:val="00016659"/>
    <w:rsid w:val="00040ADC"/>
    <w:rsid w:val="0006209C"/>
    <w:rsid w:val="000E6E01"/>
    <w:rsid w:val="00161C84"/>
    <w:rsid w:val="00275311"/>
    <w:rsid w:val="002825E8"/>
    <w:rsid w:val="004052B8"/>
    <w:rsid w:val="00436CBC"/>
    <w:rsid w:val="004A25CB"/>
    <w:rsid w:val="004E68E5"/>
    <w:rsid w:val="004F380F"/>
    <w:rsid w:val="004F498D"/>
    <w:rsid w:val="005255DB"/>
    <w:rsid w:val="00535873"/>
    <w:rsid w:val="00553A78"/>
    <w:rsid w:val="005748BC"/>
    <w:rsid w:val="00583005"/>
    <w:rsid w:val="006D18C3"/>
    <w:rsid w:val="006F44FF"/>
    <w:rsid w:val="00733073"/>
    <w:rsid w:val="007576FD"/>
    <w:rsid w:val="007E3CBD"/>
    <w:rsid w:val="00800D98"/>
    <w:rsid w:val="00857A82"/>
    <w:rsid w:val="008C1273"/>
    <w:rsid w:val="008D3BDE"/>
    <w:rsid w:val="00910ED2"/>
    <w:rsid w:val="0096361C"/>
    <w:rsid w:val="009E33E6"/>
    <w:rsid w:val="009F0F7D"/>
    <w:rsid w:val="00A01004"/>
    <w:rsid w:val="00A4782D"/>
    <w:rsid w:val="00AA0987"/>
    <w:rsid w:val="00B05903"/>
    <w:rsid w:val="00B15614"/>
    <w:rsid w:val="00C106E2"/>
    <w:rsid w:val="00C651F3"/>
    <w:rsid w:val="00D83885"/>
    <w:rsid w:val="00DC3D3A"/>
    <w:rsid w:val="00DC7049"/>
    <w:rsid w:val="00DD14FC"/>
    <w:rsid w:val="00DE5390"/>
    <w:rsid w:val="00E86BBA"/>
    <w:rsid w:val="00EB4404"/>
    <w:rsid w:val="00F06BB3"/>
    <w:rsid w:val="00F402D5"/>
    <w:rsid w:val="00FA0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14C0A"/>
  <w15:chartTrackingRefBased/>
  <w15:docId w15:val="{9CD2241A-FD63-4FFB-B1C1-BE87A9E1E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E01"/>
    <w:pPr>
      <w:spacing w:before="120"/>
      <w:jc w:val="both"/>
    </w:pPr>
    <w:rPr>
      <w:sz w:val="22"/>
      <w:szCs w:val="22"/>
      <w:lang w:eastAsia="en-US"/>
    </w:rPr>
  </w:style>
  <w:style w:type="paragraph" w:styleId="Titre3">
    <w:name w:val="heading 3"/>
    <w:basedOn w:val="Normal"/>
    <w:link w:val="Titre3Car"/>
    <w:uiPriority w:val="9"/>
    <w:qFormat/>
    <w:rsid w:val="007E3CBD"/>
    <w:pPr>
      <w:spacing w:before="100" w:beforeAutospacing="1" w:after="100" w:afterAutospacing="1"/>
      <w:jc w:val="left"/>
      <w:outlineLvl w:val="2"/>
    </w:pPr>
    <w:rPr>
      <w:rFonts w:ascii="Times New Roman" w:eastAsia="Times New Roman" w:hAnsi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7E3CBD"/>
    <w:rPr>
      <w:rFonts w:ascii="Times New Roman" w:eastAsia="Times New Roman" w:hAnsi="Times New Roman"/>
      <w:b/>
      <w:bCs/>
      <w:sz w:val="27"/>
      <w:szCs w:val="27"/>
    </w:rPr>
  </w:style>
  <w:style w:type="paragraph" w:customStyle="1" w:styleId="western">
    <w:name w:val="western"/>
    <w:basedOn w:val="Normal"/>
    <w:rsid w:val="007E3CBD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7E3CBD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7E3CBD"/>
  </w:style>
  <w:style w:type="character" w:styleId="Lienhypertexte">
    <w:name w:val="Hyperlink"/>
    <w:basedOn w:val="Policepardfaut"/>
    <w:uiPriority w:val="99"/>
    <w:unhideWhenUsed/>
    <w:rsid w:val="007E3CBD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5255DB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F06BB3"/>
    <w:rPr>
      <w:color w:val="954F72" w:themeColor="followedHyperlink"/>
      <w:u w:val="single"/>
    </w:rPr>
  </w:style>
  <w:style w:type="paragraph" w:styleId="Rvision">
    <w:name w:val="Revision"/>
    <w:hidden/>
    <w:uiPriority w:val="99"/>
    <w:semiHidden/>
    <w:rsid w:val="00B0590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2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81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35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629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64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14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43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24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40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39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2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gifrance.gouv.fr/codes/article_lc/LEGIARTI000038584287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eurolegales.com/Annonce/AvisAdministratif/Haute-Loire/Le-Progres/TRANSFERT-BIEN-DE-SECTION.html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cc0e16f-617b-489b-927d-e47d6a9b0dd6" xsi:nil="true"/>
    <lcf76f155ced4ddcb4097134ff3c332f xmlns="aafef5a3-8d0f-40fe-92d2-3a83d9f5351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DDB407A8B4D74D9778025007C2B287" ma:contentTypeVersion="13" ma:contentTypeDescription="Crée un document." ma:contentTypeScope="" ma:versionID="1394db6ae5b5bb41f843ae5423230043">
  <xsd:schema xmlns:xsd="http://www.w3.org/2001/XMLSchema" xmlns:xs="http://www.w3.org/2001/XMLSchema" xmlns:p="http://schemas.microsoft.com/office/2006/metadata/properties" xmlns:ns2="aafef5a3-8d0f-40fe-92d2-3a83d9f5351b" xmlns:ns3="8cc0e16f-617b-489b-927d-e47d6a9b0dd6" targetNamespace="http://schemas.microsoft.com/office/2006/metadata/properties" ma:root="true" ma:fieldsID="4bbac4d70dee60725a03a379675b0f45" ns2:_="" ns3:_="">
    <xsd:import namespace="aafef5a3-8d0f-40fe-92d2-3a83d9f5351b"/>
    <xsd:import namespace="8cc0e16f-617b-489b-927d-e47d6a9b0d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ef5a3-8d0f-40fe-92d2-3a83d9f535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4e8b39c3-5b2a-410c-878e-fd29726316a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c0e16f-617b-489b-927d-e47d6a9b0dd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57d5565-ac82-42f4-92ae-7ca5ea33f40e}" ma:internalName="TaxCatchAll" ma:showField="CatchAllData" ma:web="8cc0e16f-617b-489b-927d-e47d6a9b0d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EE7664-6F74-4C50-B170-DA6E21F911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EB349B-6C47-4A01-9D10-DE28B58C22CE}">
  <ds:schemaRefs>
    <ds:schemaRef ds:uri="http://schemas.microsoft.com/office/2006/metadata/properties"/>
    <ds:schemaRef ds:uri="http://schemas.microsoft.com/office/infopath/2007/PartnerControls"/>
    <ds:schemaRef ds:uri="8cc0e16f-617b-489b-927d-e47d6a9b0dd6"/>
    <ds:schemaRef ds:uri="aafef5a3-8d0f-40fe-92d2-3a83d9f5351b"/>
  </ds:schemaRefs>
</ds:datastoreItem>
</file>

<file path=customXml/itemProps3.xml><?xml version="1.0" encoding="utf-8"?>
<ds:datastoreItem xmlns:ds="http://schemas.openxmlformats.org/officeDocument/2006/customXml" ds:itemID="{6761BDB2-5027-470F-852E-6E590A4CB82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467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Links>
    <vt:vector size="6" baseType="variant">
      <vt:variant>
        <vt:i4>6291458</vt:i4>
      </vt:variant>
      <vt:variant>
        <vt:i4>0</vt:i4>
      </vt:variant>
      <vt:variant>
        <vt:i4>0</vt:i4>
      </vt:variant>
      <vt:variant>
        <vt:i4>5</vt:i4>
      </vt:variant>
      <vt:variant>
        <vt:lpwstr>http://www.legifrance.gouv.fr/affichTexte.do;jsessionid=32132884A0CCA1B2232C42E8057E6B15.tpdjo17v_2?cidTexte=JORFTEXT000000804607&amp;dateTexte=20141202&amp;categorieLien=id</vt:lpwstr>
      </vt:variant>
      <vt:variant>
        <vt:lpwstr>JORFTEXT000000804607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URACOFOR</dc:creator>
  <cp:keywords/>
  <cp:lastModifiedBy>Lucas REYNIER</cp:lastModifiedBy>
  <cp:revision>11</cp:revision>
  <cp:lastPrinted>2014-12-02T13:28:00Z</cp:lastPrinted>
  <dcterms:created xsi:type="dcterms:W3CDTF">2018-01-08T10:30:00Z</dcterms:created>
  <dcterms:modified xsi:type="dcterms:W3CDTF">2025-01-06T10:43:00Z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0x01010068DDB407A8B4D74D9778025007C2B287</vt:lpwstr>
  </property>
</Properties>
</file>